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1907" w14:textId="7B0564A2" w:rsidR="002A3F1F" w:rsidRDefault="00470F67" w:rsidP="00DD7ABD">
      <w:pPr>
        <w:spacing w:after="120" w:line="360" w:lineRule="auto"/>
        <w:ind w:left="-288"/>
        <w:jc w:val="center"/>
        <w:rPr>
          <w:b/>
          <w:bCs/>
          <w:noProof/>
          <w:sz w:val="32"/>
          <w:szCs w:val="32"/>
        </w:rPr>
      </w:pPr>
      <w:r w:rsidRPr="000719F1">
        <w:rPr>
          <w:noProof/>
        </w:rPr>
        <w:drawing>
          <wp:inline distT="0" distB="0" distL="0" distR="0" wp14:anchorId="18F285A1" wp14:editId="2AFD1ED2">
            <wp:extent cx="1058546" cy="1066453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00" cy="10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2AB2" w14:textId="779118DF" w:rsidR="002A3F1F" w:rsidRDefault="00CA1B29" w:rsidP="00DD7ABD">
      <w:pPr>
        <w:spacing w:after="120" w:line="360" w:lineRule="auto"/>
        <w:ind w:left="-288"/>
        <w:jc w:val="center"/>
        <w:rPr>
          <w:b/>
          <w:bCs/>
          <w:noProof/>
          <w:sz w:val="32"/>
          <w:szCs w:val="32"/>
        </w:rPr>
      </w:pPr>
      <w:r w:rsidRPr="00CA1B29">
        <w:rPr>
          <w:b/>
          <w:bCs/>
          <w:noProof/>
          <w:sz w:val="32"/>
          <w:szCs w:val="32"/>
        </w:rPr>
        <w:t xml:space="preserve">BERKS COUNTY PARDON PROJECT </w:t>
      </w:r>
    </w:p>
    <w:p w14:paraId="34ACFE22" w14:textId="06D9208C" w:rsidR="00A006FD" w:rsidRPr="00470F67" w:rsidRDefault="00CA1B29" w:rsidP="00470F67">
      <w:pPr>
        <w:spacing w:after="120" w:line="360" w:lineRule="auto"/>
        <w:ind w:left="-288"/>
        <w:jc w:val="center"/>
        <w:rPr>
          <w:b/>
          <w:bCs/>
          <w:noProof/>
          <w:sz w:val="32"/>
          <w:szCs w:val="32"/>
        </w:rPr>
      </w:pPr>
      <w:r w:rsidRPr="00CA1B29">
        <w:rPr>
          <w:b/>
          <w:bCs/>
          <w:noProof/>
          <w:sz w:val="32"/>
          <w:szCs w:val="32"/>
        </w:rPr>
        <w:t>E</w:t>
      </w:r>
      <w:r w:rsidR="002A3F1F">
        <w:rPr>
          <w:b/>
          <w:bCs/>
          <w:noProof/>
          <w:sz w:val="32"/>
          <w:szCs w:val="32"/>
        </w:rPr>
        <w:t xml:space="preserve">ligibility Requirements and </w:t>
      </w:r>
      <w:r w:rsidRPr="00CA1B29">
        <w:rPr>
          <w:b/>
          <w:bCs/>
          <w:noProof/>
          <w:sz w:val="32"/>
          <w:szCs w:val="32"/>
        </w:rPr>
        <w:t>G</w:t>
      </w:r>
      <w:r w:rsidR="002A3F1F">
        <w:rPr>
          <w:b/>
          <w:bCs/>
          <w:noProof/>
          <w:sz w:val="32"/>
          <w:szCs w:val="32"/>
        </w:rPr>
        <w:t>uidelines</w:t>
      </w:r>
    </w:p>
    <w:p w14:paraId="6B9E40BB" w14:textId="6F8D2BB3" w:rsidR="00471789" w:rsidRPr="002A3F1F" w:rsidRDefault="00DD7ABD" w:rsidP="00DD7ABD">
      <w:pPr>
        <w:pStyle w:val="ListParagraph"/>
        <w:numPr>
          <w:ilvl w:val="0"/>
          <w:numId w:val="7"/>
        </w:numPr>
        <w:spacing w:after="120" w:line="360" w:lineRule="auto"/>
        <w:ind w:right="-144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FREE</w:t>
      </w:r>
      <w:r w:rsidR="00235184" w:rsidRPr="002A3F1F">
        <w:rPr>
          <w:rFonts w:ascii="Tahoma" w:hAnsi="Tahoma" w:cs="Tahoma"/>
          <w:sz w:val="24"/>
          <w:szCs w:val="24"/>
        </w:rPr>
        <w:t xml:space="preserve"> </w:t>
      </w:r>
      <w:r w:rsidR="00A006FD" w:rsidRPr="002A3F1F">
        <w:rPr>
          <w:rFonts w:ascii="Tahoma" w:hAnsi="Tahoma" w:cs="Tahoma"/>
          <w:sz w:val="24"/>
          <w:szCs w:val="24"/>
        </w:rPr>
        <w:t xml:space="preserve">support </w:t>
      </w:r>
      <w:r w:rsidR="00CA1B29" w:rsidRPr="002A3F1F">
        <w:rPr>
          <w:rFonts w:ascii="Tahoma" w:hAnsi="Tahoma" w:cs="Tahoma"/>
          <w:sz w:val="24"/>
          <w:szCs w:val="24"/>
        </w:rPr>
        <w:t xml:space="preserve">is available to </w:t>
      </w:r>
      <w:proofErr w:type="gramStart"/>
      <w:r w:rsidR="00CA1B29" w:rsidRPr="002A3F1F">
        <w:rPr>
          <w:rFonts w:ascii="Tahoma" w:hAnsi="Tahoma" w:cs="Tahoma"/>
          <w:sz w:val="24"/>
          <w:szCs w:val="24"/>
        </w:rPr>
        <w:t>individuals</w:t>
      </w:r>
      <w:proofErr w:type="gramEnd"/>
      <w:r w:rsidR="00CA1B29" w:rsidRPr="002A3F1F">
        <w:rPr>
          <w:rFonts w:ascii="Tahoma" w:hAnsi="Tahoma" w:cs="Tahoma"/>
          <w:sz w:val="24"/>
          <w:szCs w:val="24"/>
        </w:rPr>
        <w:t xml:space="preserve"> seeking pardons from past criminal convictions provided the following eligibility criteria are met</w:t>
      </w:r>
      <w:r w:rsidR="00947F66" w:rsidRPr="002A3F1F">
        <w:rPr>
          <w:rFonts w:ascii="Tahoma" w:hAnsi="Tahoma" w:cs="Tahoma"/>
          <w:sz w:val="24"/>
          <w:szCs w:val="24"/>
        </w:rPr>
        <w:t>:</w:t>
      </w:r>
    </w:p>
    <w:p w14:paraId="22DE5850" w14:textId="15D25589" w:rsidR="00CA1B29" w:rsidRPr="002A3F1F" w:rsidRDefault="00CA1B29" w:rsidP="00DD7ABD">
      <w:pPr>
        <w:pStyle w:val="ListParagraph"/>
        <w:numPr>
          <w:ilvl w:val="0"/>
          <w:numId w:val="7"/>
        </w:numPr>
        <w:spacing w:after="120" w:line="360" w:lineRule="auto"/>
        <w:ind w:right="-144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Individuals must reside in Berks County, or have a Berks County conviction which is the subject of the pardon request</w:t>
      </w:r>
      <w:r w:rsidR="00947F66" w:rsidRPr="002A3F1F">
        <w:rPr>
          <w:rFonts w:ascii="Tahoma" w:hAnsi="Tahoma" w:cs="Tahoma"/>
          <w:sz w:val="24"/>
          <w:szCs w:val="24"/>
        </w:rPr>
        <w:t>.</w:t>
      </w:r>
    </w:p>
    <w:p w14:paraId="312632BB" w14:textId="412824A3" w:rsidR="00471789" w:rsidRPr="002A3F1F" w:rsidRDefault="00CA1B29" w:rsidP="00DD7ABD">
      <w:pPr>
        <w:pStyle w:val="ListParagraph"/>
        <w:numPr>
          <w:ilvl w:val="0"/>
          <w:numId w:val="7"/>
        </w:numPr>
        <w:spacing w:after="0" w:line="360" w:lineRule="auto"/>
        <w:ind w:right="-144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Pardon applicants must have fully completed their period of incarceration and any period of parole or probation</w:t>
      </w:r>
      <w:r w:rsidR="00947F66" w:rsidRPr="002A3F1F">
        <w:rPr>
          <w:rFonts w:ascii="Tahoma" w:hAnsi="Tahoma" w:cs="Tahoma"/>
          <w:sz w:val="24"/>
          <w:szCs w:val="24"/>
        </w:rPr>
        <w:t>.</w:t>
      </w:r>
      <w:r w:rsidR="00822221" w:rsidRPr="002A3F1F">
        <w:rPr>
          <w:rFonts w:ascii="Tahoma" w:hAnsi="Tahoma" w:cs="Tahoma"/>
          <w:sz w:val="24"/>
          <w:szCs w:val="24"/>
        </w:rPr>
        <w:t xml:space="preserve"> </w:t>
      </w:r>
    </w:p>
    <w:p w14:paraId="2174FFE2" w14:textId="3C126013" w:rsidR="007B2371" w:rsidRPr="002A3F1F" w:rsidRDefault="00CA1B29" w:rsidP="00DD7ABD">
      <w:pPr>
        <w:pStyle w:val="ListParagraph"/>
        <w:numPr>
          <w:ilvl w:val="0"/>
          <w:numId w:val="7"/>
        </w:numPr>
        <w:spacing w:after="0" w:line="360" w:lineRule="auto"/>
        <w:ind w:right="-144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Applicants must have paid in full all Court ordered restitution.  Full payment of all fines, fees and Court costs</w:t>
      </w:r>
      <w:r w:rsidR="008C39BC" w:rsidRPr="002A3F1F">
        <w:rPr>
          <w:rFonts w:ascii="Tahoma" w:hAnsi="Tahoma" w:cs="Tahoma"/>
          <w:sz w:val="24"/>
          <w:szCs w:val="24"/>
        </w:rPr>
        <w:t xml:space="preserve"> is preferred but applicants’ repayment status will be reviewed on a case-by-case basis</w:t>
      </w:r>
      <w:r w:rsidR="00947F66" w:rsidRPr="002A3F1F">
        <w:rPr>
          <w:rFonts w:ascii="Tahoma" w:hAnsi="Tahoma" w:cs="Tahoma"/>
          <w:sz w:val="24"/>
          <w:szCs w:val="24"/>
        </w:rPr>
        <w:t>.</w:t>
      </w:r>
      <w:r w:rsidR="007B2371" w:rsidRPr="002A3F1F">
        <w:rPr>
          <w:rFonts w:ascii="Tahoma" w:hAnsi="Tahoma" w:cs="Tahoma"/>
          <w:sz w:val="24"/>
          <w:szCs w:val="24"/>
        </w:rPr>
        <w:t xml:space="preserve"> </w:t>
      </w:r>
    </w:p>
    <w:p w14:paraId="4F5BCDC4" w14:textId="27FC9118" w:rsidR="00471789" w:rsidRPr="002A3F1F" w:rsidRDefault="008C39BC" w:rsidP="00DD7ABD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Any</w:t>
      </w:r>
      <w:r w:rsidR="00EF7DDD" w:rsidRPr="002A3F1F">
        <w:rPr>
          <w:rFonts w:ascii="Tahoma" w:hAnsi="Tahoma" w:cs="Tahoma"/>
          <w:sz w:val="24"/>
          <w:szCs w:val="24"/>
        </w:rPr>
        <w:t xml:space="preserve"> conviction</w:t>
      </w:r>
      <w:r w:rsidR="00EF7DDD" w:rsidRPr="002A3F1F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EF7DDD" w:rsidRPr="002A3F1F">
        <w:rPr>
          <w:rFonts w:ascii="Tahoma" w:hAnsi="Tahoma" w:cs="Tahoma"/>
          <w:i/>
          <w:iCs/>
          <w:sz w:val="24"/>
          <w:szCs w:val="24"/>
        </w:rPr>
        <w:t>at any time, in any jurisdiction</w:t>
      </w:r>
      <w:r w:rsidR="00EF7DDD" w:rsidRPr="002A3F1F">
        <w:rPr>
          <w:rFonts w:ascii="Tahoma" w:hAnsi="Tahoma" w:cs="Tahoma"/>
          <w:sz w:val="24"/>
          <w:szCs w:val="24"/>
        </w:rPr>
        <w:t>, of a</w:t>
      </w:r>
      <w:r w:rsidRPr="002A3F1F">
        <w:rPr>
          <w:rFonts w:ascii="Tahoma" w:hAnsi="Tahoma" w:cs="Tahoma"/>
          <w:sz w:val="24"/>
          <w:szCs w:val="24"/>
        </w:rPr>
        <w:t xml:space="preserve"> sex crime will render a pardon applicant ineligible for Pardon Project volunteer assistance</w:t>
      </w:r>
      <w:r w:rsidR="00947F66" w:rsidRPr="002A3F1F">
        <w:rPr>
          <w:rFonts w:ascii="Tahoma" w:hAnsi="Tahoma" w:cs="Tahoma"/>
          <w:sz w:val="24"/>
          <w:szCs w:val="24"/>
        </w:rPr>
        <w:t>.</w:t>
      </w:r>
    </w:p>
    <w:p w14:paraId="6D5CC831" w14:textId="1F57178B" w:rsidR="00A27797" w:rsidRPr="002A3F1F" w:rsidRDefault="008C39BC" w:rsidP="00DD7ABD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Applicants must not have any open and pending criminal cases</w:t>
      </w:r>
      <w:r w:rsidR="00947F66" w:rsidRPr="002A3F1F">
        <w:rPr>
          <w:rFonts w:ascii="Tahoma" w:hAnsi="Tahoma" w:cs="Tahoma"/>
          <w:sz w:val="24"/>
          <w:szCs w:val="24"/>
        </w:rPr>
        <w:t>.</w:t>
      </w:r>
    </w:p>
    <w:p w14:paraId="1B78EACD" w14:textId="49726585" w:rsidR="00EF7DDD" w:rsidRPr="002A3F1F" w:rsidRDefault="00947F66" w:rsidP="00DD7ABD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Applicants with records of alcohol, mental health or substance abuse problems must demonstrate past and continuing commitment to appropriate treatment programs.</w:t>
      </w:r>
    </w:p>
    <w:p w14:paraId="066DD9FE" w14:textId="5C33B6CD" w:rsidR="008C39BC" w:rsidRPr="002A3F1F" w:rsidRDefault="00DD7ABD" w:rsidP="00DD7ABD">
      <w:pPr>
        <w:spacing w:after="120" w:line="24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 xml:space="preserve">The </w:t>
      </w:r>
      <w:r w:rsidR="008C39BC" w:rsidRPr="002A3F1F">
        <w:rPr>
          <w:rFonts w:ascii="Tahoma" w:hAnsi="Tahoma" w:cs="Tahoma"/>
          <w:sz w:val="24"/>
          <w:szCs w:val="24"/>
        </w:rPr>
        <w:t>Berks County Pardon Project suggests the following guidelines which may increase the likelihood of success in obtaining a pardon:</w:t>
      </w:r>
    </w:p>
    <w:p w14:paraId="7D5E6541" w14:textId="4915964C" w:rsidR="008C39BC" w:rsidRPr="00470F67" w:rsidRDefault="008C39BC" w:rsidP="00470F67">
      <w:pPr>
        <w:pStyle w:val="ListParagraph"/>
        <w:numPr>
          <w:ilvl w:val="0"/>
          <w:numId w:val="10"/>
        </w:numPr>
        <w:spacing w:before="120" w:after="240" w:line="24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Each Applicant should be able to demonstrate that they have been a positive force in the community, demonstrated by education, employment history, volunteer efforts, etc.</w:t>
      </w:r>
    </w:p>
    <w:p w14:paraId="57E6FF00" w14:textId="02B27E4D" w:rsidR="008C39BC" w:rsidRPr="002A3F1F" w:rsidRDefault="008C39BC" w:rsidP="00470F67">
      <w:pPr>
        <w:pStyle w:val="ListParagraph"/>
        <w:numPr>
          <w:ilvl w:val="0"/>
          <w:numId w:val="10"/>
        </w:numPr>
        <w:spacing w:before="120" w:after="120" w:line="24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 xml:space="preserve">A period of time should have elapsed </w:t>
      </w:r>
      <w:r w:rsidR="00E62601" w:rsidRPr="002A3F1F">
        <w:rPr>
          <w:rFonts w:ascii="Tahoma" w:hAnsi="Tahoma" w:cs="Tahoma"/>
          <w:sz w:val="24"/>
          <w:szCs w:val="24"/>
        </w:rPr>
        <w:t>after</w:t>
      </w:r>
      <w:r w:rsidRPr="002A3F1F">
        <w:rPr>
          <w:rFonts w:ascii="Tahoma" w:hAnsi="Tahoma" w:cs="Tahoma"/>
          <w:sz w:val="24"/>
          <w:szCs w:val="24"/>
        </w:rPr>
        <w:t xml:space="preserve"> completion of</w:t>
      </w:r>
      <w:r w:rsidR="00E62601" w:rsidRPr="002A3F1F">
        <w:rPr>
          <w:rFonts w:ascii="Tahoma" w:hAnsi="Tahoma" w:cs="Tahoma"/>
          <w:sz w:val="24"/>
          <w:szCs w:val="24"/>
        </w:rPr>
        <w:t xml:space="preserve"> incarceration, probation or parole before seeking a pardon.  Longer time periods</w:t>
      </w:r>
      <w:r w:rsidR="00C2708F" w:rsidRPr="002A3F1F">
        <w:rPr>
          <w:rFonts w:ascii="Tahoma" w:hAnsi="Tahoma" w:cs="Tahoma"/>
          <w:sz w:val="24"/>
          <w:szCs w:val="24"/>
        </w:rPr>
        <w:t xml:space="preserve"> (years)</w:t>
      </w:r>
      <w:r w:rsidR="00E62601" w:rsidRPr="002A3F1F">
        <w:rPr>
          <w:rFonts w:ascii="Tahoma" w:hAnsi="Tahoma" w:cs="Tahoma"/>
          <w:sz w:val="24"/>
          <w:szCs w:val="24"/>
        </w:rPr>
        <w:t>, especially for more serious offenses, increase chances of success</w:t>
      </w:r>
      <w:r w:rsidR="002A3F1F">
        <w:rPr>
          <w:rFonts w:ascii="Tahoma" w:hAnsi="Tahoma" w:cs="Tahoma"/>
          <w:sz w:val="24"/>
          <w:szCs w:val="24"/>
        </w:rPr>
        <w:t>.</w:t>
      </w:r>
    </w:p>
    <w:p w14:paraId="03327AEA" w14:textId="77777777" w:rsidR="00C2708F" w:rsidRPr="002A3F1F" w:rsidRDefault="00C2708F" w:rsidP="00C2708F">
      <w:pPr>
        <w:pStyle w:val="ListParagraph"/>
        <w:rPr>
          <w:rFonts w:ascii="Tahoma" w:hAnsi="Tahoma" w:cs="Tahoma"/>
          <w:sz w:val="24"/>
          <w:szCs w:val="24"/>
        </w:rPr>
      </w:pPr>
    </w:p>
    <w:p w14:paraId="4295AD9F" w14:textId="1CD341BA" w:rsidR="00C2708F" w:rsidRPr="002A3F1F" w:rsidRDefault="00C2708F" w:rsidP="00C2708F">
      <w:pPr>
        <w:spacing w:after="120" w:line="240" w:lineRule="auto"/>
        <w:ind w:right="-288"/>
        <w:rPr>
          <w:rFonts w:ascii="Tahoma" w:hAnsi="Tahoma" w:cs="Tahoma"/>
          <w:sz w:val="24"/>
          <w:szCs w:val="24"/>
        </w:rPr>
      </w:pPr>
      <w:r w:rsidRPr="002A3F1F">
        <w:rPr>
          <w:rFonts w:ascii="Tahoma" w:hAnsi="Tahoma" w:cs="Tahoma"/>
          <w:sz w:val="24"/>
          <w:szCs w:val="24"/>
        </w:rPr>
        <w:t>The Pardon Project and all of its volunteers reserve the right to decline</w:t>
      </w:r>
      <w:r w:rsidR="00947F66" w:rsidRPr="002A3F1F">
        <w:rPr>
          <w:rFonts w:ascii="Tahoma" w:hAnsi="Tahoma" w:cs="Tahoma"/>
          <w:sz w:val="24"/>
          <w:szCs w:val="24"/>
        </w:rPr>
        <w:t xml:space="preserve"> assistance to any pardon applicant.  The Pardon Project reserves the right to amend its eligibility criteria at any time.</w:t>
      </w:r>
    </w:p>
    <w:p w14:paraId="7530905E" w14:textId="1C68C76D" w:rsidR="00DD7ABD" w:rsidRPr="002A3F1F" w:rsidRDefault="008C39BC" w:rsidP="008B7D03">
      <w:pPr>
        <w:spacing w:after="0"/>
        <w:ind w:right="-288"/>
        <w:rPr>
          <w:rFonts w:ascii="Times New Roman" w:hAnsi="Times New Roman" w:cs="Times New Roman"/>
          <w:i/>
          <w:iCs/>
          <w:sz w:val="24"/>
          <w:szCs w:val="24"/>
        </w:rPr>
      </w:pPr>
      <w:r w:rsidRPr="002A3F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ABE3B9A" w14:textId="7AE81E67" w:rsidR="00796F68" w:rsidRDefault="00D27D75" w:rsidP="008B7D03">
      <w:pPr>
        <w:spacing w:after="0"/>
        <w:ind w:right="-28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BF38AD" w14:textId="2ED2786A" w:rsidR="00D27D75" w:rsidRDefault="002A3F1F" w:rsidP="008B7D03">
      <w:pPr>
        <w:spacing w:after="0"/>
        <w:ind w:right="-28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3F1F">
        <w:rPr>
          <w:rFonts w:ascii="Times New Roman" w:hAnsi="Times New Roman" w:cs="Times New Roman"/>
          <w:i/>
          <w:iCs/>
          <w:sz w:val="16"/>
          <w:szCs w:val="16"/>
        </w:rPr>
        <w:t>Rev. 7/12/21</w:t>
      </w:r>
    </w:p>
    <w:sectPr w:rsidR="00D27D75" w:rsidSect="002E07A9">
      <w:pgSz w:w="12240" w:h="15840"/>
      <w:pgMar w:top="45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571F" w14:textId="77777777" w:rsidR="00921FEB" w:rsidRDefault="00921FEB" w:rsidP="00EF7DDD">
      <w:pPr>
        <w:spacing w:after="0" w:line="240" w:lineRule="auto"/>
      </w:pPr>
      <w:r>
        <w:separator/>
      </w:r>
    </w:p>
  </w:endnote>
  <w:endnote w:type="continuationSeparator" w:id="0">
    <w:p w14:paraId="493C56B2" w14:textId="77777777" w:rsidR="00921FEB" w:rsidRDefault="00921FEB" w:rsidP="00EF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4D5C" w14:textId="77777777" w:rsidR="00921FEB" w:rsidRDefault="00921FEB" w:rsidP="00EF7DDD">
      <w:pPr>
        <w:spacing w:after="0" w:line="240" w:lineRule="auto"/>
      </w:pPr>
      <w:r>
        <w:separator/>
      </w:r>
    </w:p>
  </w:footnote>
  <w:footnote w:type="continuationSeparator" w:id="0">
    <w:p w14:paraId="4F914CDE" w14:textId="77777777" w:rsidR="00921FEB" w:rsidRDefault="00921FEB" w:rsidP="00EF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C0"/>
    <w:multiLevelType w:val="hybridMultilevel"/>
    <w:tmpl w:val="43B02624"/>
    <w:lvl w:ilvl="0" w:tplc="26CA7B6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A11C9"/>
    <w:multiLevelType w:val="hybridMultilevel"/>
    <w:tmpl w:val="E0B6226E"/>
    <w:lvl w:ilvl="0" w:tplc="2FEE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6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E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3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07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B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220882"/>
    <w:multiLevelType w:val="hybridMultilevel"/>
    <w:tmpl w:val="45AA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2F4"/>
    <w:multiLevelType w:val="hybridMultilevel"/>
    <w:tmpl w:val="828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A2C21"/>
    <w:multiLevelType w:val="hybridMultilevel"/>
    <w:tmpl w:val="B35A0586"/>
    <w:lvl w:ilvl="0" w:tplc="97287B6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3024"/>
    <w:multiLevelType w:val="hybridMultilevel"/>
    <w:tmpl w:val="D9A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0B4"/>
    <w:multiLevelType w:val="hybridMultilevel"/>
    <w:tmpl w:val="B5B0CC5E"/>
    <w:lvl w:ilvl="0" w:tplc="1DB85B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0E2"/>
    <w:multiLevelType w:val="hybridMultilevel"/>
    <w:tmpl w:val="0BAA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9479E7"/>
    <w:multiLevelType w:val="hybridMultilevel"/>
    <w:tmpl w:val="C4082410"/>
    <w:lvl w:ilvl="0" w:tplc="F24AB4D4">
      <w:start w:val="17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7693F"/>
    <w:multiLevelType w:val="hybridMultilevel"/>
    <w:tmpl w:val="DB783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83"/>
    <w:rsid w:val="00016FDA"/>
    <w:rsid w:val="00056CFB"/>
    <w:rsid w:val="000625C2"/>
    <w:rsid w:val="0007111B"/>
    <w:rsid w:val="000B2E4D"/>
    <w:rsid w:val="000D550E"/>
    <w:rsid w:val="001479A0"/>
    <w:rsid w:val="00177015"/>
    <w:rsid w:val="001962F4"/>
    <w:rsid w:val="001A67EF"/>
    <w:rsid w:val="001C5AF6"/>
    <w:rsid w:val="001C7167"/>
    <w:rsid w:val="001F1F40"/>
    <w:rsid w:val="001F5990"/>
    <w:rsid w:val="00214C9C"/>
    <w:rsid w:val="002276A8"/>
    <w:rsid w:val="00232C94"/>
    <w:rsid w:val="00235184"/>
    <w:rsid w:val="00241296"/>
    <w:rsid w:val="002672F7"/>
    <w:rsid w:val="002A3F1F"/>
    <w:rsid w:val="002E07A9"/>
    <w:rsid w:val="002E6A83"/>
    <w:rsid w:val="002E74A7"/>
    <w:rsid w:val="003141F4"/>
    <w:rsid w:val="00340962"/>
    <w:rsid w:val="00356266"/>
    <w:rsid w:val="0036189F"/>
    <w:rsid w:val="00363A54"/>
    <w:rsid w:val="00380969"/>
    <w:rsid w:val="003A74B9"/>
    <w:rsid w:val="003D4791"/>
    <w:rsid w:val="003D6960"/>
    <w:rsid w:val="0042022F"/>
    <w:rsid w:val="00426848"/>
    <w:rsid w:val="0044565A"/>
    <w:rsid w:val="00470DC1"/>
    <w:rsid w:val="00470F67"/>
    <w:rsid w:val="00471789"/>
    <w:rsid w:val="004719AD"/>
    <w:rsid w:val="0047709A"/>
    <w:rsid w:val="004B0E88"/>
    <w:rsid w:val="004E0983"/>
    <w:rsid w:val="004E3CE2"/>
    <w:rsid w:val="004E3E3A"/>
    <w:rsid w:val="00500437"/>
    <w:rsid w:val="00547469"/>
    <w:rsid w:val="00564DE9"/>
    <w:rsid w:val="00592A4F"/>
    <w:rsid w:val="005B4F4D"/>
    <w:rsid w:val="005C3608"/>
    <w:rsid w:val="00613456"/>
    <w:rsid w:val="00634BA1"/>
    <w:rsid w:val="00665EB5"/>
    <w:rsid w:val="006A44FC"/>
    <w:rsid w:val="006D294F"/>
    <w:rsid w:val="006E53ED"/>
    <w:rsid w:val="006F49E6"/>
    <w:rsid w:val="007324DC"/>
    <w:rsid w:val="007414B9"/>
    <w:rsid w:val="00776C60"/>
    <w:rsid w:val="00792C1C"/>
    <w:rsid w:val="00796F68"/>
    <w:rsid w:val="007B2371"/>
    <w:rsid w:val="007B2F65"/>
    <w:rsid w:val="007B45FA"/>
    <w:rsid w:val="007E3090"/>
    <w:rsid w:val="00822221"/>
    <w:rsid w:val="00851318"/>
    <w:rsid w:val="00853A56"/>
    <w:rsid w:val="00860CB3"/>
    <w:rsid w:val="008A0E27"/>
    <w:rsid w:val="008B0142"/>
    <w:rsid w:val="008B7D03"/>
    <w:rsid w:val="008C39BC"/>
    <w:rsid w:val="008C4EAC"/>
    <w:rsid w:val="008D3084"/>
    <w:rsid w:val="008E4A09"/>
    <w:rsid w:val="008E596C"/>
    <w:rsid w:val="00910F3C"/>
    <w:rsid w:val="00921FEB"/>
    <w:rsid w:val="009238A0"/>
    <w:rsid w:val="00941165"/>
    <w:rsid w:val="00947F66"/>
    <w:rsid w:val="00951D39"/>
    <w:rsid w:val="00960BC0"/>
    <w:rsid w:val="009837C5"/>
    <w:rsid w:val="00985F59"/>
    <w:rsid w:val="0098758C"/>
    <w:rsid w:val="009A2402"/>
    <w:rsid w:val="009D3C04"/>
    <w:rsid w:val="009F315B"/>
    <w:rsid w:val="00A006FD"/>
    <w:rsid w:val="00A27797"/>
    <w:rsid w:val="00A837A7"/>
    <w:rsid w:val="00B06B8E"/>
    <w:rsid w:val="00B06F53"/>
    <w:rsid w:val="00B20604"/>
    <w:rsid w:val="00B208BC"/>
    <w:rsid w:val="00B2467C"/>
    <w:rsid w:val="00B3484E"/>
    <w:rsid w:val="00B74337"/>
    <w:rsid w:val="00BC55FA"/>
    <w:rsid w:val="00BE6A7A"/>
    <w:rsid w:val="00C24764"/>
    <w:rsid w:val="00C2708F"/>
    <w:rsid w:val="00C63DFD"/>
    <w:rsid w:val="00C825D6"/>
    <w:rsid w:val="00CA1B29"/>
    <w:rsid w:val="00CB0F88"/>
    <w:rsid w:val="00CB24AA"/>
    <w:rsid w:val="00CC472F"/>
    <w:rsid w:val="00D15A61"/>
    <w:rsid w:val="00D21EF8"/>
    <w:rsid w:val="00D228CA"/>
    <w:rsid w:val="00D27D75"/>
    <w:rsid w:val="00D45404"/>
    <w:rsid w:val="00D838E6"/>
    <w:rsid w:val="00DD7ABD"/>
    <w:rsid w:val="00DF08AE"/>
    <w:rsid w:val="00DF3899"/>
    <w:rsid w:val="00DF798F"/>
    <w:rsid w:val="00E204C8"/>
    <w:rsid w:val="00E2098C"/>
    <w:rsid w:val="00E21803"/>
    <w:rsid w:val="00E62601"/>
    <w:rsid w:val="00E8077A"/>
    <w:rsid w:val="00ED4F70"/>
    <w:rsid w:val="00EF1DA9"/>
    <w:rsid w:val="00EF7DDD"/>
    <w:rsid w:val="00F33D1D"/>
    <w:rsid w:val="00F51258"/>
    <w:rsid w:val="00F84193"/>
    <w:rsid w:val="00FA0FBA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0AC3"/>
  <w15:chartTrackingRefBased/>
  <w15:docId w15:val="{AAC5FFD5-F0F0-4E95-BE8D-A9AB7707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1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7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DDD"/>
    <w:rPr>
      <w:vertAlign w:val="superscript"/>
    </w:rPr>
  </w:style>
  <w:style w:type="table" w:styleId="TableGrid">
    <w:name w:val="Table Grid"/>
    <w:basedOn w:val="TableNormal"/>
    <w:uiPriority w:val="39"/>
    <w:rsid w:val="002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691-7116-44F9-BB89-FF8F1F2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Oxholm</dc:creator>
  <cp:keywords/>
  <dc:description/>
  <cp:lastModifiedBy>Tobey Oxholm</cp:lastModifiedBy>
  <cp:revision>2</cp:revision>
  <cp:lastPrinted>2021-05-07T11:52:00Z</cp:lastPrinted>
  <dcterms:created xsi:type="dcterms:W3CDTF">2021-11-14T12:22:00Z</dcterms:created>
  <dcterms:modified xsi:type="dcterms:W3CDTF">2021-11-14T12:22:00Z</dcterms:modified>
</cp:coreProperties>
</file>